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9E4937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9E4937" w:rsidRPr="009E4937" w:rsidRDefault="009E4937" w:rsidP="009E4937">
      <w:pPr>
        <w:spacing w:after="240"/>
        <w:ind w:left="3402"/>
        <w:jc w:val="left"/>
        <w:outlineLvl w:val="0"/>
        <w:rPr>
          <w:rFonts w:ascii="Arial" w:hAnsi="Arial" w:cs="Arial"/>
          <w:b/>
          <w:kern w:val="28"/>
          <w:sz w:val="56"/>
          <w:szCs w:val="56"/>
        </w:rPr>
      </w:pPr>
      <w:r w:rsidRPr="009E4937">
        <w:rPr>
          <w:rFonts w:ascii="Arial" w:hAnsi="Arial" w:cs="Arial"/>
          <w:b/>
          <w:kern w:val="28"/>
          <w:sz w:val="56"/>
          <w:szCs w:val="56"/>
        </w:rPr>
        <w:t>UniQuE</w:t>
      </w:r>
    </w:p>
    <w:p w:rsidR="009E4937" w:rsidRPr="009E4937" w:rsidRDefault="009E4937" w:rsidP="009E4937">
      <w:pPr>
        <w:pBdr>
          <w:top w:val="single" w:sz="12" w:space="12" w:color="auto"/>
          <w:bottom w:val="single" w:sz="12" w:space="12" w:color="auto"/>
        </w:pBdr>
        <w:ind w:left="3398"/>
        <w:jc w:val="left"/>
        <w:outlineLvl w:val="0"/>
        <w:rPr>
          <w:rFonts w:ascii="Arial" w:hAnsi="Arial" w:cs="Arial"/>
          <w:b/>
          <w:color w:val="1F497D"/>
          <w:kern w:val="28"/>
          <w:sz w:val="56"/>
        </w:rPr>
      </w:pPr>
      <w:r w:rsidRPr="009E4937">
        <w:rPr>
          <w:rFonts w:ascii="Arial" w:hAnsi="Arial" w:cs="Arial"/>
          <w:b/>
          <w:color w:val="1F497D"/>
          <w:kern w:val="28"/>
          <w:sz w:val="56"/>
        </w:rPr>
        <w:t>Service Delivery Processes Requirements</w:t>
      </w:r>
    </w:p>
    <w:p w:rsidR="009E4937" w:rsidRPr="009E4937" w:rsidRDefault="009E4937" w:rsidP="009E4937">
      <w:pPr>
        <w:spacing w:before="200"/>
        <w:ind w:left="3402"/>
        <w:jc w:val="left"/>
        <w:rPr>
          <w:rFonts w:ascii="Arial" w:hAnsi="Arial" w:cs="Arial"/>
          <w:b/>
          <w:i/>
          <w:kern w:val="28"/>
          <w:sz w:val="40"/>
        </w:rPr>
      </w:pPr>
      <w:r w:rsidRPr="009E4937">
        <w:rPr>
          <w:rFonts w:ascii="Arial" w:hAnsi="Arial" w:cs="Arial"/>
          <w:b/>
          <w:i/>
          <w:kern w:val="28"/>
          <w:sz w:val="40"/>
        </w:rPr>
        <w:t>(Engagement Name and Id)</w:t>
      </w:r>
    </w:p>
    <w:p w:rsidR="009E4937" w:rsidRPr="009E4937" w:rsidRDefault="009E4937" w:rsidP="009E4937">
      <w:pPr>
        <w:spacing w:before="200"/>
        <w:ind w:left="3402"/>
        <w:jc w:val="left"/>
        <w:rPr>
          <w:rFonts w:ascii="Arial" w:hAnsi="Arial" w:cs="Arial"/>
          <w:b/>
          <w:i/>
          <w:kern w:val="28"/>
          <w:sz w:val="40"/>
        </w:rPr>
      </w:pPr>
      <w:r w:rsidRPr="009E4937">
        <w:rPr>
          <w:rFonts w:ascii="Arial" w:hAnsi="Arial" w:cs="Arial"/>
          <w:b/>
          <w:i/>
          <w:kern w:val="28"/>
          <w:sz w:val="40"/>
        </w:rPr>
        <w:t>(Client)</w:t>
      </w:r>
    </w:p>
    <w:p w:rsidR="00912644" w:rsidRPr="009E4937" w:rsidRDefault="009E4937" w:rsidP="009E4937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  <w:r w:rsidRPr="009E4937">
        <w:rPr>
          <w:rFonts w:ascii="Arial" w:hAnsi="Arial" w:cs="Arial"/>
          <w:lang w:val="fr-FR"/>
        </w:rPr>
        <w:br w:type="page"/>
      </w:r>
    </w:p>
    <w:p w:rsidR="009E4937" w:rsidRPr="009E4937" w:rsidRDefault="009E4937" w:rsidP="009E4937">
      <w:pPr>
        <w:rPr>
          <w:rFonts w:ascii="Arial" w:hAnsi="Arial" w:cs="Arial"/>
          <w:lang w:val="nl-NL"/>
        </w:rPr>
      </w:pPr>
      <w:bookmarkStart w:id="0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0"/>
    </w:p>
    <w:p w:rsidR="009E4937" w:rsidRPr="009E4937" w:rsidRDefault="009E4937" w:rsidP="009E4937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E4937" w:rsidRPr="009E4937" w:rsidTr="008844EF">
        <w:tc>
          <w:tcPr>
            <w:tcW w:w="1276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9E4937" w:rsidRPr="009E4937" w:rsidTr="008844EF">
        <w:tc>
          <w:tcPr>
            <w:tcW w:w="127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27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27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27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27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4937" w:rsidRPr="009E4937" w:rsidRDefault="009E4937" w:rsidP="009E4937">
      <w:pPr>
        <w:rPr>
          <w:rFonts w:ascii="Arial" w:hAnsi="Arial" w:cs="Arial"/>
          <w:lang w:val="en-US"/>
        </w:rPr>
      </w:pPr>
    </w:p>
    <w:p w:rsidR="009E4937" w:rsidRPr="009E4937" w:rsidRDefault="009E4937" w:rsidP="009E4937">
      <w:pPr>
        <w:rPr>
          <w:rFonts w:ascii="Arial" w:hAnsi="Arial" w:cs="Arial"/>
          <w:b/>
          <w:color w:val="17365D"/>
          <w:sz w:val="24"/>
          <w:lang w:val="en-US"/>
        </w:rPr>
      </w:pPr>
      <w:bookmarkStart w:id="1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1"/>
    </w:p>
    <w:p w:rsidR="009E4937" w:rsidRPr="009E4937" w:rsidRDefault="009E4937" w:rsidP="009E4937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9E4937" w:rsidRPr="009E4937" w:rsidTr="008844EF">
        <w:tc>
          <w:tcPr>
            <w:tcW w:w="1196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9E4937" w:rsidRPr="009E4937" w:rsidTr="008844EF">
        <w:tc>
          <w:tcPr>
            <w:tcW w:w="119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19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19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19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1196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4937" w:rsidRPr="009E4937" w:rsidRDefault="009E4937" w:rsidP="009E4937">
      <w:pPr>
        <w:rPr>
          <w:rFonts w:ascii="Arial" w:hAnsi="Arial" w:cs="Arial"/>
          <w:lang w:val="en-US"/>
        </w:rPr>
      </w:pPr>
    </w:p>
    <w:p w:rsidR="009E4937" w:rsidRPr="009E4937" w:rsidRDefault="009E4937" w:rsidP="009E4937">
      <w:pPr>
        <w:rPr>
          <w:rFonts w:ascii="Arial" w:hAnsi="Arial" w:cs="Arial"/>
          <w:b/>
          <w:color w:val="17365D"/>
          <w:sz w:val="24"/>
          <w:lang w:val="en-US"/>
        </w:rPr>
      </w:pPr>
      <w:bookmarkStart w:id="2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2"/>
    </w:p>
    <w:p w:rsidR="009E4937" w:rsidRPr="009E4937" w:rsidRDefault="009E4937" w:rsidP="009E493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E4937" w:rsidRPr="009E4937" w:rsidTr="008844EF">
        <w:tc>
          <w:tcPr>
            <w:tcW w:w="2693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9E4937" w:rsidRPr="009E4937" w:rsidTr="008844EF">
        <w:tc>
          <w:tcPr>
            <w:tcW w:w="26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26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26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26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2693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4937" w:rsidRPr="009E4937" w:rsidRDefault="009E4937" w:rsidP="009E4937">
      <w:pPr>
        <w:rPr>
          <w:rFonts w:ascii="Arial" w:hAnsi="Arial" w:cs="Arial"/>
          <w:lang w:val="en-US"/>
        </w:rPr>
      </w:pPr>
    </w:p>
    <w:p w:rsidR="009E4937" w:rsidRPr="009E4937" w:rsidRDefault="009E4937" w:rsidP="009E4937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3"/>
    </w:p>
    <w:p w:rsidR="009E4937" w:rsidRPr="009E4937" w:rsidRDefault="009E4937" w:rsidP="009E4937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E4937" w:rsidRPr="009E4937" w:rsidTr="008844EF">
        <w:tc>
          <w:tcPr>
            <w:tcW w:w="4961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9E4937" w:rsidRPr="009E4937" w:rsidRDefault="009E4937" w:rsidP="008844EF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9E4937" w:rsidRPr="009E4937" w:rsidTr="008844EF">
        <w:tc>
          <w:tcPr>
            <w:tcW w:w="4961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  <w:tr w:rsidR="009E4937" w:rsidRPr="009E4937" w:rsidTr="008844EF">
        <w:tc>
          <w:tcPr>
            <w:tcW w:w="4961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E4937" w:rsidRPr="009E4937" w:rsidRDefault="009E4937" w:rsidP="008844E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4937" w:rsidRPr="009E4937" w:rsidRDefault="009E4937" w:rsidP="009E4937">
      <w:pPr>
        <w:rPr>
          <w:rFonts w:ascii="Arial" w:hAnsi="Arial" w:cs="Arial"/>
          <w:lang w:val="en-US"/>
        </w:rPr>
      </w:pPr>
    </w:p>
    <w:p w:rsidR="009E4937" w:rsidRPr="009E4937" w:rsidRDefault="009E4937" w:rsidP="009E4937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:rsidR="009E4937" w:rsidRPr="009E4937" w:rsidRDefault="009E4937" w:rsidP="009E4937">
      <w:pPr>
        <w:rPr>
          <w:rFonts w:ascii="Arial" w:hAnsi="Arial" w:cs="Arial"/>
          <w:lang w:val="en-US"/>
        </w:rPr>
      </w:pPr>
    </w:p>
    <w:p w:rsidR="009E4937" w:rsidRPr="009E4937" w:rsidRDefault="009E4937" w:rsidP="009E4937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9E4937">
        <w:rPr>
          <w:rFonts w:ascii="Arial" w:hAnsi="Arial" w:cs="Arial"/>
          <w:b w:val="0"/>
          <w:sz w:val="20"/>
        </w:rPr>
        <w:t>Template Version Number:</w:t>
      </w:r>
      <w:r w:rsidRPr="009E4937">
        <w:rPr>
          <w:rFonts w:ascii="Arial" w:hAnsi="Arial" w:cs="Arial"/>
        </w:rPr>
        <w:t xml:space="preserve"> </w:t>
      </w:r>
      <w:r w:rsidR="000C1FFB">
        <w:rPr>
          <w:rFonts w:ascii="Arial" w:hAnsi="Arial" w:cs="Arial"/>
          <w:b w:val="0"/>
          <w:sz w:val="20"/>
        </w:rPr>
        <w:t>Group Reference v</w:t>
      </w:r>
      <w:r w:rsidRPr="009E4937">
        <w:rPr>
          <w:rFonts w:ascii="Arial" w:hAnsi="Arial" w:cs="Arial"/>
          <w:b w:val="0"/>
          <w:sz w:val="20"/>
        </w:rPr>
        <w:t>1.0</w:t>
      </w:r>
    </w:p>
    <w:p w:rsidR="009E4937" w:rsidRPr="009E4937" w:rsidRDefault="009E4937" w:rsidP="009E4937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9E4937" w:rsidRPr="009E4937" w:rsidRDefault="009E4937" w:rsidP="009E493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E4937" w:rsidRPr="009E4937" w:rsidRDefault="009E4937" w:rsidP="009E493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E4937" w:rsidRPr="009E4937" w:rsidRDefault="009E4937" w:rsidP="009E493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E4937" w:rsidRPr="009E4937" w:rsidRDefault="009E4937" w:rsidP="009E493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E4937" w:rsidRPr="009E4937" w:rsidRDefault="009E4937" w:rsidP="009E493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E4937" w:rsidRPr="009E4937" w:rsidRDefault="009E4937" w:rsidP="009E4937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C446A" w:rsidRPr="009E4937" w:rsidRDefault="00C45059" w:rsidP="009E4937">
      <w:pPr>
        <w:spacing w:after="24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9E4937">
        <w:rPr>
          <w:rFonts w:ascii="Arial" w:hAnsi="Arial" w:cs="Arial"/>
          <w:b/>
          <w:color w:val="17365D" w:themeColor="text2" w:themeShade="BF"/>
          <w:sz w:val="24"/>
          <w:szCs w:val="24"/>
        </w:rPr>
        <w:t>Table Of Contents</w:t>
      </w:r>
    </w:p>
    <w:p w:rsidR="00432842" w:rsidRPr="009E4937" w:rsidRDefault="00DA701F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r w:rsidRPr="009E4937">
        <w:rPr>
          <w:rFonts w:cs="Arial"/>
          <w:b w:val="0"/>
          <w:bCs w:val="0"/>
          <w:caps/>
        </w:rPr>
        <w:fldChar w:fldCharType="begin"/>
      </w:r>
      <w:r w:rsidR="00C45059" w:rsidRPr="009E4937">
        <w:rPr>
          <w:rFonts w:cs="Arial"/>
          <w:b w:val="0"/>
          <w:bCs w:val="0"/>
          <w:caps/>
        </w:rPr>
        <w:instrText xml:space="preserve"> TOC \o "1-3" \h \z \u </w:instrText>
      </w:r>
      <w:r w:rsidRPr="009E4937">
        <w:rPr>
          <w:rFonts w:cs="Arial"/>
          <w:b w:val="0"/>
          <w:bCs w:val="0"/>
          <w:caps/>
        </w:rPr>
        <w:fldChar w:fldCharType="separate"/>
      </w:r>
      <w:hyperlink w:anchor="_Toc476067041" w:history="1">
        <w:r w:rsidR="00432842" w:rsidRPr="009E4937">
          <w:rPr>
            <w:rStyle w:val="Hyperlink"/>
            <w:rFonts w:cs="Arial"/>
          </w:rPr>
          <w:t>1.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Purpose Of The Document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_Toc476067041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5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432842" w:rsidRPr="009E4937" w:rsidRDefault="00F953E2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76067042" w:history="1">
        <w:r w:rsidR="00432842" w:rsidRPr="009E4937">
          <w:rPr>
            <w:rStyle w:val="Hyperlink"/>
            <w:rFonts w:cs="Arial"/>
          </w:rPr>
          <w:t>2.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Service Engagement Processes List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_Toc476067042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6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432842" w:rsidRPr="009E4937" w:rsidRDefault="00F953E2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76067043" w:history="1">
        <w:r w:rsidR="00432842" w:rsidRPr="009E4937">
          <w:rPr>
            <w:rStyle w:val="Hyperlink"/>
            <w:rFonts w:cs="Arial"/>
          </w:rPr>
          <w:t>3.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Statutory Requirements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_Toc476067043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7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432842" w:rsidRPr="009E4937" w:rsidRDefault="00F953E2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76067044" w:history="1">
        <w:r w:rsidR="00432842" w:rsidRPr="009E4937">
          <w:rPr>
            <w:rStyle w:val="Hyperlink"/>
            <w:rFonts w:cs="Arial"/>
          </w:rPr>
          <w:t>4.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Process Current State Analysis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_Toc476067044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8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432842" w:rsidRPr="009E4937" w:rsidRDefault="00F953E2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76067045" w:history="1">
        <w:r w:rsidR="00432842" w:rsidRPr="009E4937">
          <w:rPr>
            <w:rStyle w:val="Hyperlink"/>
            <w:rFonts w:cs="Arial"/>
          </w:rPr>
          <w:t>5.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Process Assessment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_Toc476067045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9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432842" w:rsidRPr="009E4937" w:rsidRDefault="00F953E2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76067046" w:history="1">
        <w:r w:rsidR="00432842" w:rsidRPr="009E4937">
          <w:rPr>
            <w:rStyle w:val="Hyperlink"/>
            <w:rFonts w:cs="Arial"/>
          </w:rPr>
          <w:t>6.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Customer Critical To Success Factors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_Toc476067046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10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432842" w:rsidRPr="009E4937" w:rsidRDefault="00F953E2">
      <w:pPr>
        <w:pStyle w:val="TOC1"/>
        <w:rPr>
          <w:rFonts w:eastAsiaTheme="minorEastAsia" w:cs="Arial"/>
          <w:b w:val="0"/>
          <w:bCs w:val="0"/>
          <w:color w:val="auto"/>
          <w:sz w:val="22"/>
          <w:szCs w:val="22"/>
          <w:lang w:val="en-US"/>
        </w:rPr>
      </w:pPr>
      <w:hyperlink w:anchor="_Toc476067047" w:history="1">
        <w:r w:rsidR="00432842" w:rsidRPr="009E4937">
          <w:rPr>
            <w:rStyle w:val="Hyperlink"/>
            <w:rFonts w:cs="Arial"/>
          </w:rPr>
          <w:t>7.</w:t>
        </w:r>
        <w:r w:rsidR="00432842" w:rsidRPr="009E4937">
          <w:rPr>
            <w:rFonts w:eastAsiaTheme="minorEastAsia" w:cs="Arial"/>
            <w:b w:val="0"/>
            <w:bCs w:val="0"/>
            <w:color w:val="auto"/>
            <w:sz w:val="22"/>
            <w:szCs w:val="22"/>
            <w:lang w:val="en-US"/>
          </w:rPr>
          <w:tab/>
        </w:r>
        <w:r w:rsidR="00432842" w:rsidRPr="009E4937">
          <w:rPr>
            <w:rStyle w:val="Hyperlink"/>
            <w:rFonts w:cs="Arial"/>
          </w:rPr>
          <w:t>Final Process Landscape</w:t>
        </w:r>
        <w:r w:rsidR="00432842" w:rsidRPr="009E4937">
          <w:rPr>
            <w:rFonts w:cs="Arial"/>
            <w:webHidden/>
          </w:rPr>
          <w:tab/>
        </w:r>
        <w:r w:rsidR="00432842" w:rsidRPr="009E4937">
          <w:rPr>
            <w:rFonts w:cs="Arial"/>
            <w:webHidden/>
          </w:rPr>
          <w:fldChar w:fldCharType="begin"/>
        </w:r>
        <w:r w:rsidR="00432842" w:rsidRPr="009E4937">
          <w:rPr>
            <w:rFonts w:cs="Arial"/>
            <w:webHidden/>
          </w:rPr>
          <w:instrText xml:space="preserve"> PAGEREF _Toc476067047 \h </w:instrText>
        </w:r>
        <w:r w:rsidR="00432842" w:rsidRPr="009E4937">
          <w:rPr>
            <w:rFonts w:cs="Arial"/>
            <w:webHidden/>
          </w:rPr>
        </w:r>
        <w:r w:rsidR="00432842" w:rsidRPr="009E4937">
          <w:rPr>
            <w:rFonts w:cs="Arial"/>
            <w:webHidden/>
          </w:rPr>
          <w:fldChar w:fldCharType="separate"/>
        </w:r>
        <w:r w:rsidR="00432842" w:rsidRPr="009E4937">
          <w:rPr>
            <w:rFonts w:cs="Arial"/>
            <w:webHidden/>
          </w:rPr>
          <w:t>11</w:t>
        </w:r>
        <w:r w:rsidR="00432842" w:rsidRPr="009E4937">
          <w:rPr>
            <w:rFonts w:cs="Arial"/>
            <w:webHidden/>
          </w:rPr>
          <w:fldChar w:fldCharType="end"/>
        </w:r>
      </w:hyperlink>
    </w:p>
    <w:p w:rsidR="00FC446A" w:rsidRPr="009E4937" w:rsidRDefault="00DA701F" w:rsidP="000B779F">
      <w:pPr>
        <w:rPr>
          <w:rFonts w:ascii="Arial" w:hAnsi="Arial" w:cs="Arial"/>
        </w:rPr>
      </w:pPr>
      <w:r w:rsidRPr="009E4937">
        <w:rPr>
          <w:rFonts w:ascii="Arial" w:hAnsi="Arial" w:cs="Arial"/>
          <w:b/>
          <w:bCs/>
          <w:caps/>
          <w:noProof/>
          <w:color w:val="1F497D"/>
          <w:sz w:val="24"/>
          <w:szCs w:val="28"/>
        </w:rPr>
        <w:fldChar w:fldCharType="end"/>
      </w:r>
      <w:bookmarkStart w:id="4" w:name="_GoBack"/>
      <w:bookmarkEnd w:id="4"/>
    </w:p>
    <w:p w:rsidR="00BF24CE" w:rsidRPr="009E4937" w:rsidRDefault="00C24241" w:rsidP="00B77B4E">
      <w:pPr>
        <w:pStyle w:val="Heading1"/>
        <w:rPr>
          <w:color w:val="17365D" w:themeColor="text2" w:themeShade="BF"/>
        </w:rPr>
      </w:pPr>
      <w:bookmarkStart w:id="5" w:name="_Toc476067041"/>
      <w:r w:rsidRPr="009E4937">
        <w:rPr>
          <w:color w:val="17365D" w:themeColor="text2" w:themeShade="BF"/>
        </w:rPr>
        <w:lastRenderedPageBreak/>
        <w:t>Purpose Of The Document</w:t>
      </w:r>
      <w:bookmarkEnd w:id="5"/>
    </w:p>
    <w:p w:rsidR="00BF24CE" w:rsidRPr="009E4937" w:rsidRDefault="00BF24CE" w:rsidP="00BF24CE">
      <w:pPr>
        <w:rPr>
          <w:rFonts w:ascii="Arial" w:hAnsi="Arial" w:cs="Arial"/>
        </w:rPr>
      </w:pPr>
    </w:p>
    <w:p w:rsidR="00C24241" w:rsidRPr="009E4937" w:rsidRDefault="00C24241" w:rsidP="00BF24CE">
      <w:pPr>
        <w:rPr>
          <w:rFonts w:ascii="Arial" w:hAnsi="Arial" w:cs="Arial"/>
        </w:rPr>
      </w:pPr>
      <w:r w:rsidRPr="009E4937">
        <w:rPr>
          <w:rFonts w:ascii="Arial" w:hAnsi="Arial" w:cs="Arial"/>
        </w:rPr>
        <w:t>&lt;&lt;Mention the scope of the document&gt;&gt;</w:t>
      </w:r>
    </w:p>
    <w:p w:rsidR="00F77EDB" w:rsidRPr="009E4937" w:rsidRDefault="003B7B2F" w:rsidP="00B77B4E">
      <w:pPr>
        <w:pStyle w:val="Heading1"/>
        <w:rPr>
          <w:color w:val="17365D" w:themeColor="text2" w:themeShade="BF"/>
        </w:rPr>
      </w:pPr>
      <w:bookmarkStart w:id="6" w:name="_Toc476067042"/>
      <w:r w:rsidRPr="009E4937">
        <w:rPr>
          <w:color w:val="17365D" w:themeColor="text2" w:themeShade="BF"/>
        </w:rPr>
        <w:lastRenderedPageBreak/>
        <w:t>Service Engagement Processes List</w:t>
      </w:r>
      <w:bookmarkEnd w:id="6"/>
    </w:p>
    <w:p w:rsidR="00F77EDB" w:rsidRPr="009E4937" w:rsidRDefault="00C24241" w:rsidP="00BF24CE">
      <w:pPr>
        <w:rPr>
          <w:rFonts w:ascii="Arial" w:hAnsi="Arial" w:cs="Arial"/>
        </w:rPr>
      </w:pPr>
      <w:r w:rsidRPr="009E4937">
        <w:rPr>
          <w:rFonts w:ascii="Arial" w:hAnsi="Arial" w:cs="Arial"/>
        </w:rPr>
        <w:t xml:space="preserve"> </w:t>
      </w:r>
    </w:p>
    <w:p w:rsidR="00C24241" w:rsidRPr="009E4937" w:rsidRDefault="00C24241" w:rsidP="00BF24CE">
      <w:pPr>
        <w:rPr>
          <w:rFonts w:ascii="Arial" w:hAnsi="Arial" w:cs="Arial"/>
        </w:rPr>
      </w:pPr>
      <w:r w:rsidRPr="009E4937">
        <w:rPr>
          <w:rFonts w:ascii="Arial" w:hAnsi="Arial" w:cs="Arial"/>
        </w:rPr>
        <w:t>&lt;&lt;Mention here the list of processes required for the</w:t>
      </w:r>
      <w:r w:rsidR="00432842" w:rsidRPr="009E4937">
        <w:rPr>
          <w:rFonts w:ascii="Arial" w:hAnsi="Arial" w:cs="Arial"/>
        </w:rPr>
        <w:t xml:space="preserve"> overall</w:t>
      </w:r>
      <w:r w:rsidRPr="009E4937">
        <w:rPr>
          <w:rFonts w:ascii="Arial" w:hAnsi="Arial" w:cs="Arial"/>
        </w:rPr>
        <w:t xml:space="preserve"> service engagement&gt;&gt;</w:t>
      </w:r>
    </w:p>
    <w:p w:rsidR="00BF24CE" w:rsidRPr="009E4937" w:rsidRDefault="003B7B2F" w:rsidP="00B77B4E">
      <w:pPr>
        <w:pStyle w:val="Heading1"/>
        <w:rPr>
          <w:color w:val="17365D" w:themeColor="text2" w:themeShade="BF"/>
        </w:rPr>
      </w:pPr>
      <w:bookmarkStart w:id="7" w:name="_Toc476067043"/>
      <w:r w:rsidRPr="009E4937">
        <w:rPr>
          <w:color w:val="17365D" w:themeColor="text2" w:themeShade="BF"/>
        </w:rPr>
        <w:lastRenderedPageBreak/>
        <w:t>Statutory Requirements</w:t>
      </w:r>
      <w:bookmarkEnd w:id="7"/>
    </w:p>
    <w:p w:rsidR="00820C9F" w:rsidRPr="009E4937" w:rsidRDefault="00820C9F" w:rsidP="00820C9F">
      <w:pPr>
        <w:rPr>
          <w:rFonts w:ascii="Arial" w:hAnsi="Arial" w:cs="Arial"/>
        </w:rPr>
      </w:pPr>
    </w:p>
    <w:p w:rsidR="00C24241" w:rsidRPr="009E4937" w:rsidRDefault="00C24241" w:rsidP="00820C9F">
      <w:pPr>
        <w:rPr>
          <w:rFonts w:ascii="Arial" w:hAnsi="Arial" w:cs="Arial"/>
        </w:rPr>
      </w:pPr>
    </w:p>
    <w:p w:rsidR="00C24241" w:rsidRPr="009E4937" w:rsidRDefault="00C24241" w:rsidP="00820C9F">
      <w:pPr>
        <w:rPr>
          <w:rFonts w:ascii="Arial" w:hAnsi="Arial" w:cs="Arial"/>
        </w:rPr>
      </w:pPr>
      <w:r w:rsidRPr="009E4937">
        <w:rPr>
          <w:rFonts w:ascii="Arial" w:hAnsi="Arial" w:cs="Arial"/>
        </w:rPr>
        <w:t xml:space="preserve">&lt;&lt;This section will contain the statutory and regulatory requirements that Capgemini has to </w:t>
      </w:r>
      <w:r w:rsidR="00432842" w:rsidRPr="009E4937">
        <w:rPr>
          <w:rFonts w:ascii="Arial" w:hAnsi="Arial" w:cs="Arial"/>
        </w:rPr>
        <w:t>comply with as per the contract</w:t>
      </w:r>
      <w:r w:rsidRPr="009E4937">
        <w:rPr>
          <w:rFonts w:ascii="Arial" w:hAnsi="Arial" w:cs="Arial"/>
        </w:rPr>
        <w:t>&gt;&gt;</w:t>
      </w:r>
    </w:p>
    <w:p w:rsidR="00432842" w:rsidRPr="009E4937" w:rsidRDefault="00432842" w:rsidP="00820C9F">
      <w:pPr>
        <w:rPr>
          <w:rFonts w:ascii="Arial" w:hAnsi="Arial" w:cs="Arial"/>
        </w:rPr>
      </w:pPr>
    </w:p>
    <w:p w:rsidR="009E4937" w:rsidRDefault="009E4937" w:rsidP="00820C9F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Default="009E4937" w:rsidP="009E4937">
      <w:pPr>
        <w:rPr>
          <w:rFonts w:ascii="Arial" w:hAnsi="Arial" w:cs="Arial"/>
        </w:rPr>
      </w:pPr>
    </w:p>
    <w:p w:rsidR="009E4937" w:rsidRPr="009E4937" w:rsidRDefault="009E4937" w:rsidP="009E4937">
      <w:pPr>
        <w:rPr>
          <w:rFonts w:ascii="Arial" w:hAnsi="Arial" w:cs="Arial"/>
        </w:rPr>
      </w:pPr>
    </w:p>
    <w:p w:rsidR="009E4937" w:rsidRDefault="009E4937" w:rsidP="009E4937">
      <w:pPr>
        <w:rPr>
          <w:rFonts w:ascii="Arial" w:hAnsi="Arial" w:cs="Arial"/>
        </w:rPr>
      </w:pPr>
    </w:p>
    <w:p w:rsidR="00432842" w:rsidRPr="009E4937" w:rsidRDefault="009E4937" w:rsidP="009E4937">
      <w:pPr>
        <w:tabs>
          <w:tab w:val="left" w:pos="11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0C9F" w:rsidRPr="009E4937" w:rsidRDefault="003B7B2F" w:rsidP="00B77B4E">
      <w:pPr>
        <w:pStyle w:val="Heading1"/>
        <w:rPr>
          <w:color w:val="17365D" w:themeColor="text2" w:themeShade="BF"/>
        </w:rPr>
      </w:pPr>
      <w:bookmarkStart w:id="8" w:name="_Toc476067044"/>
      <w:r w:rsidRPr="009E4937">
        <w:rPr>
          <w:color w:val="17365D" w:themeColor="text2" w:themeShade="BF"/>
        </w:rPr>
        <w:lastRenderedPageBreak/>
        <w:t>Process Current State Analysis</w:t>
      </w:r>
      <w:bookmarkEnd w:id="8"/>
    </w:p>
    <w:p w:rsidR="00820C9F" w:rsidRPr="009E4937" w:rsidRDefault="00820C9F" w:rsidP="00820C9F">
      <w:pPr>
        <w:rPr>
          <w:rFonts w:ascii="Arial" w:hAnsi="Arial" w:cs="Arial"/>
        </w:rPr>
      </w:pPr>
    </w:p>
    <w:p w:rsidR="00820C9F" w:rsidRPr="009E4937" w:rsidRDefault="00C24241" w:rsidP="00820C9F">
      <w:pPr>
        <w:rPr>
          <w:rFonts w:ascii="Arial" w:hAnsi="Arial" w:cs="Arial"/>
        </w:rPr>
      </w:pPr>
      <w:r w:rsidRPr="009E4937">
        <w:rPr>
          <w:rFonts w:ascii="Arial" w:hAnsi="Arial" w:cs="Arial"/>
        </w:rPr>
        <w:t xml:space="preserve">&lt;&lt; In this section, </w:t>
      </w:r>
      <w:r w:rsidRPr="009E4937">
        <w:rPr>
          <w:rFonts w:ascii="Arial" w:hAnsi="Arial" w:cs="Arial"/>
          <w:color w:val="000000"/>
        </w:rPr>
        <w:t>provides an in-depth analysis of the current processes followed in Client's organization</w:t>
      </w:r>
      <w:r w:rsidR="007D02E4" w:rsidRPr="009E4937">
        <w:rPr>
          <w:rFonts w:ascii="Arial" w:hAnsi="Arial" w:cs="Arial"/>
          <w:color w:val="000000"/>
        </w:rPr>
        <w:t>. &gt;</w:t>
      </w:r>
      <w:r w:rsidRPr="009E4937">
        <w:rPr>
          <w:rFonts w:ascii="Arial" w:hAnsi="Arial" w:cs="Arial"/>
          <w:color w:val="000000"/>
        </w:rPr>
        <w:t>&gt;</w:t>
      </w:r>
      <w:r w:rsidRPr="009E4937">
        <w:rPr>
          <w:rFonts w:ascii="Arial" w:hAnsi="Arial" w:cs="Arial"/>
        </w:rPr>
        <w:t xml:space="preserve"> </w:t>
      </w:r>
    </w:p>
    <w:p w:rsidR="00820C9F" w:rsidRPr="00B77B4E" w:rsidRDefault="003B7B2F" w:rsidP="00B77B4E">
      <w:pPr>
        <w:pStyle w:val="Heading1"/>
        <w:rPr>
          <w:color w:val="17365D" w:themeColor="text2" w:themeShade="BF"/>
        </w:rPr>
      </w:pPr>
      <w:bookmarkStart w:id="9" w:name="_Toc476067045"/>
      <w:r w:rsidRPr="00B77B4E">
        <w:rPr>
          <w:color w:val="17365D" w:themeColor="text2" w:themeShade="BF"/>
        </w:rPr>
        <w:lastRenderedPageBreak/>
        <w:t>Process Assessment</w:t>
      </w:r>
      <w:bookmarkEnd w:id="9"/>
    </w:p>
    <w:p w:rsidR="00BA15E4" w:rsidRPr="009E4937" w:rsidRDefault="00BA15E4" w:rsidP="00BA15E4">
      <w:pPr>
        <w:rPr>
          <w:rFonts w:ascii="Arial" w:hAnsi="Arial" w:cs="Arial"/>
        </w:rPr>
      </w:pPr>
    </w:p>
    <w:p w:rsidR="00BA15E4" w:rsidRPr="009E4937" w:rsidRDefault="00BA15E4" w:rsidP="00BA15E4">
      <w:pPr>
        <w:rPr>
          <w:rFonts w:ascii="Arial" w:hAnsi="Arial" w:cs="Arial"/>
        </w:rPr>
      </w:pPr>
      <w:r w:rsidRPr="009E4937">
        <w:rPr>
          <w:rFonts w:ascii="Arial" w:hAnsi="Arial" w:cs="Arial"/>
        </w:rPr>
        <w:t>&lt;&lt;In this section, mention the maturity level of processes followed in the Client’s organization</w:t>
      </w:r>
      <w:r w:rsidR="0076221C" w:rsidRPr="009E4937">
        <w:rPr>
          <w:rFonts w:ascii="Arial" w:hAnsi="Arial" w:cs="Arial"/>
        </w:rPr>
        <w:t xml:space="preserve"> w</w:t>
      </w:r>
      <w:r w:rsidR="00AE17BE" w:rsidRPr="009E4937">
        <w:rPr>
          <w:rFonts w:ascii="Arial" w:hAnsi="Arial" w:cs="Arial"/>
        </w:rPr>
        <w:t xml:space="preserve">ith </w:t>
      </w:r>
      <w:r w:rsidR="0076221C" w:rsidRPr="009E4937">
        <w:rPr>
          <w:rFonts w:ascii="Arial" w:hAnsi="Arial" w:cs="Arial"/>
        </w:rPr>
        <w:t>r</w:t>
      </w:r>
      <w:r w:rsidR="00AE17BE" w:rsidRPr="009E4937">
        <w:rPr>
          <w:rFonts w:ascii="Arial" w:hAnsi="Arial" w:cs="Arial"/>
        </w:rPr>
        <w:t xml:space="preserve">espect </w:t>
      </w:r>
      <w:r w:rsidR="0076221C" w:rsidRPr="009E4937">
        <w:rPr>
          <w:rFonts w:ascii="Arial" w:hAnsi="Arial" w:cs="Arial"/>
        </w:rPr>
        <w:t>t</w:t>
      </w:r>
      <w:r w:rsidR="00AE17BE" w:rsidRPr="009E4937">
        <w:rPr>
          <w:rFonts w:ascii="Arial" w:hAnsi="Arial" w:cs="Arial"/>
        </w:rPr>
        <w:t>o the</w:t>
      </w:r>
      <w:r w:rsidR="0076221C" w:rsidRPr="009E4937">
        <w:rPr>
          <w:rFonts w:ascii="Arial" w:hAnsi="Arial" w:cs="Arial"/>
        </w:rPr>
        <w:t xml:space="preserve"> applicable industry st</w:t>
      </w:r>
      <w:r w:rsidR="00AE17BE" w:rsidRPr="009E4937">
        <w:rPr>
          <w:rFonts w:ascii="Arial" w:hAnsi="Arial" w:cs="Arial"/>
        </w:rPr>
        <w:t>andards</w:t>
      </w:r>
      <w:r w:rsidRPr="009E4937">
        <w:rPr>
          <w:rFonts w:ascii="Arial" w:hAnsi="Arial" w:cs="Arial"/>
        </w:rPr>
        <w:t>. &gt;&gt;</w:t>
      </w:r>
    </w:p>
    <w:p w:rsidR="00E81418" w:rsidRPr="009E4937" w:rsidRDefault="00E81418" w:rsidP="00E81418">
      <w:pPr>
        <w:rPr>
          <w:rFonts w:ascii="Arial" w:hAnsi="Arial" w:cs="Arial"/>
        </w:rPr>
      </w:pPr>
    </w:p>
    <w:p w:rsidR="00E81418" w:rsidRPr="009E4937" w:rsidRDefault="00E81418" w:rsidP="00E81418">
      <w:pPr>
        <w:rPr>
          <w:rFonts w:ascii="Arial" w:hAnsi="Arial" w:cs="Arial"/>
        </w:rPr>
      </w:pPr>
    </w:p>
    <w:p w:rsidR="00E81418" w:rsidRPr="00B77B4E" w:rsidRDefault="00E81418" w:rsidP="00B77B4E">
      <w:pPr>
        <w:pStyle w:val="Heading1"/>
        <w:rPr>
          <w:color w:val="17365D" w:themeColor="text2" w:themeShade="BF"/>
        </w:rPr>
      </w:pPr>
      <w:bookmarkStart w:id="10" w:name="_Toc476067046"/>
      <w:r w:rsidRPr="00B77B4E">
        <w:rPr>
          <w:color w:val="17365D" w:themeColor="text2" w:themeShade="BF"/>
        </w:rPr>
        <w:lastRenderedPageBreak/>
        <w:t>Customer Critical To Success Factors</w:t>
      </w:r>
      <w:bookmarkEnd w:id="10"/>
    </w:p>
    <w:p w:rsidR="00E81418" w:rsidRPr="00B77B4E" w:rsidRDefault="00E81418" w:rsidP="00E81418">
      <w:pPr>
        <w:rPr>
          <w:rFonts w:ascii="Arial" w:hAnsi="Arial" w:cs="Arial"/>
          <w:color w:val="17365D" w:themeColor="text2" w:themeShade="BF"/>
        </w:rPr>
      </w:pPr>
    </w:p>
    <w:p w:rsidR="00486A02" w:rsidRPr="009E4937" w:rsidRDefault="00486A02" w:rsidP="00E81418">
      <w:pPr>
        <w:rPr>
          <w:rFonts w:ascii="Arial" w:hAnsi="Arial" w:cs="Arial"/>
        </w:rPr>
      </w:pPr>
      <w:r w:rsidRPr="009E4937">
        <w:rPr>
          <w:rFonts w:ascii="Arial" w:hAnsi="Arial" w:cs="Arial"/>
        </w:rPr>
        <w:t>&lt;&lt;Mention the factors critical for the success of customer’s business operations&gt;&gt;</w:t>
      </w:r>
    </w:p>
    <w:p w:rsidR="00432842" w:rsidRPr="009E4937" w:rsidRDefault="00432842" w:rsidP="00E81418">
      <w:pPr>
        <w:rPr>
          <w:rFonts w:ascii="Arial" w:hAnsi="Arial" w:cs="Arial"/>
        </w:rPr>
      </w:pPr>
    </w:p>
    <w:p w:rsidR="00432842" w:rsidRPr="009E4937" w:rsidRDefault="00432842" w:rsidP="00E81418">
      <w:pPr>
        <w:rPr>
          <w:rFonts w:ascii="Arial" w:hAnsi="Arial" w:cs="Arial"/>
        </w:rPr>
      </w:pPr>
    </w:p>
    <w:p w:rsidR="00432842" w:rsidRPr="009E4937" w:rsidRDefault="00432842" w:rsidP="00E81418">
      <w:pPr>
        <w:rPr>
          <w:rFonts w:ascii="Arial" w:hAnsi="Arial" w:cs="Arial"/>
        </w:rPr>
      </w:pPr>
    </w:p>
    <w:p w:rsidR="00432842" w:rsidRPr="009E4937" w:rsidRDefault="00432842" w:rsidP="00B77B4E">
      <w:pPr>
        <w:pStyle w:val="Heading1"/>
        <w:rPr>
          <w:color w:val="17365D" w:themeColor="text2" w:themeShade="BF"/>
        </w:rPr>
      </w:pPr>
      <w:bookmarkStart w:id="11" w:name="_Toc476067047"/>
      <w:r w:rsidRPr="009E4937">
        <w:rPr>
          <w:color w:val="17365D" w:themeColor="text2" w:themeShade="BF"/>
        </w:rPr>
        <w:lastRenderedPageBreak/>
        <w:t>Final Process Landscape</w:t>
      </w:r>
      <w:bookmarkEnd w:id="11"/>
    </w:p>
    <w:p w:rsidR="00432842" w:rsidRPr="009E4937" w:rsidRDefault="00432842" w:rsidP="00432842">
      <w:pPr>
        <w:rPr>
          <w:rFonts w:ascii="Arial" w:hAnsi="Arial" w:cs="Arial"/>
        </w:rPr>
      </w:pPr>
    </w:p>
    <w:p w:rsidR="00432842" w:rsidRPr="009E4937" w:rsidRDefault="00432842" w:rsidP="00432842">
      <w:pPr>
        <w:rPr>
          <w:rFonts w:ascii="Arial" w:hAnsi="Arial" w:cs="Arial"/>
        </w:rPr>
      </w:pPr>
    </w:p>
    <w:p w:rsidR="00432842" w:rsidRPr="009E4937" w:rsidRDefault="00432842" w:rsidP="00432842">
      <w:pPr>
        <w:rPr>
          <w:rFonts w:ascii="Arial" w:hAnsi="Arial" w:cs="Arial"/>
        </w:rPr>
      </w:pPr>
      <w:r w:rsidRPr="009E4937">
        <w:rPr>
          <w:rFonts w:ascii="Arial" w:hAnsi="Arial" w:cs="Arial"/>
        </w:rPr>
        <w:t>&lt;&lt; Mention here the final process scope in terms of the overall processes needed, processes to be newly defined, processes to be modified, existing processes that can be re-used as–is, etc.&gt;&gt;</w:t>
      </w:r>
    </w:p>
    <w:p w:rsidR="00432842" w:rsidRPr="009E4937" w:rsidRDefault="00432842" w:rsidP="00E81418">
      <w:pPr>
        <w:rPr>
          <w:rFonts w:ascii="Arial" w:hAnsi="Arial" w:cs="Arial"/>
        </w:rPr>
      </w:pPr>
    </w:p>
    <w:sectPr w:rsidR="00432842" w:rsidRPr="009E4937" w:rsidSect="00B7485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E2" w:rsidRDefault="00F953E2">
      <w:r>
        <w:separator/>
      </w:r>
    </w:p>
  </w:endnote>
  <w:endnote w:type="continuationSeparator" w:id="0">
    <w:p w:rsidR="00F953E2" w:rsidRDefault="00F9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1C" w:rsidRPr="009E4937" w:rsidRDefault="0076221C">
    <w:pPr>
      <w:pStyle w:val="Footer"/>
      <w:rPr>
        <w:rFonts w:ascii="Arial" w:hAnsi="Arial" w:cs="Arial"/>
        <w:lang w:val="fr-FR"/>
      </w:rPr>
    </w:pPr>
    <w:r w:rsidRPr="009E4937">
      <w:rPr>
        <w:rFonts w:ascii="Arial" w:hAnsi="Arial" w:cs="Arial"/>
        <w:lang w:val="fr-FR"/>
      </w:rPr>
      <w:t>Reference: (document reference)</w:t>
    </w:r>
    <w:r w:rsidRPr="009E4937">
      <w:rPr>
        <w:rFonts w:ascii="Arial" w:hAnsi="Arial" w:cs="Arial"/>
        <w:lang w:val="fr-FR"/>
      </w:rPr>
      <w:tab/>
      <w:t>Version: (document version)</w:t>
    </w:r>
    <w:r w:rsidRPr="009E4937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1C" w:rsidRPr="009E4937" w:rsidRDefault="009E4937" w:rsidP="009E4937">
    <w:pPr>
      <w:pStyle w:val="Footer"/>
      <w:pBdr>
        <w:top w:val="single" w:sz="4" w:space="0" w:color="auto"/>
      </w:pBdr>
    </w:pPr>
    <w:r w:rsidRPr="00AE3408">
      <w:rPr>
        <w:rFonts w:ascii="Arial" w:hAnsi="Arial" w:cs="Arial"/>
        <w:lang w:val="fr-FR"/>
      </w:rPr>
      <w:t>Reference: (document reference)</w:t>
    </w:r>
    <w:r w:rsidRPr="00AE3408">
      <w:rPr>
        <w:rFonts w:ascii="Arial" w:hAnsi="Arial" w:cs="Arial"/>
        <w:lang w:val="fr-FR"/>
      </w:rPr>
      <w:tab/>
      <w:t>Version: (document version)</w:t>
    </w:r>
    <w:r w:rsidRPr="00AE3408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E2" w:rsidRDefault="00F953E2">
      <w:r>
        <w:separator/>
      </w:r>
    </w:p>
  </w:footnote>
  <w:footnote w:type="continuationSeparator" w:id="0">
    <w:p w:rsidR="00F953E2" w:rsidRDefault="00F9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1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4"/>
      <w:gridCol w:w="7378"/>
      <w:gridCol w:w="1039"/>
    </w:tblGrid>
    <w:tr w:rsidR="0076221C" w:rsidTr="009E4937">
      <w:trPr>
        <w:cantSplit/>
        <w:trHeight w:val="463"/>
      </w:trPr>
      <w:tc>
        <w:tcPr>
          <w:tcW w:w="2354" w:type="dxa"/>
          <w:vMerge w:val="restart"/>
        </w:tcPr>
        <w:p w:rsidR="0076221C" w:rsidRDefault="0076221C" w:rsidP="00FC3D42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8" w:type="dxa"/>
          <w:tcBorders>
            <w:bottom w:val="single" w:sz="4" w:space="0" w:color="auto"/>
          </w:tcBorders>
          <w:vAlign w:val="bottom"/>
        </w:tcPr>
        <w:p w:rsidR="0076221C" w:rsidRPr="009E4937" w:rsidRDefault="0076221C" w:rsidP="001B2ABA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9E4937">
            <w:rPr>
              <w:rFonts w:ascii="Arial" w:hAnsi="Arial" w:cs="Arial"/>
            </w:rPr>
            <w:t>(engagement name) / Service Delivery Processes Requirements</w:t>
          </w:r>
        </w:p>
      </w:tc>
      <w:tc>
        <w:tcPr>
          <w:tcW w:w="1039" w:type="dxa"/>
          <w:tcBorders>
            <w:bottom w:val="single" w:sz="4" w:space="0" w:color="auto"/>
          </w:tcBorders>
          <w:vAlign w:val="bottom"/>
        </w:tcPr>
        <w:p w:rsidR="0076221C" w:rsidRDefault="009E4937" w:rsidP="009E4937">
          <w:pPr>
            <w:pStyle w:val="Header"/>
            <w:pBdr>
              <w:bottom w:val="none" w:sz="0" w:space="0" w:color="auto"/>
            </w:pBdr>
            <w:ind w:left="0" w:right="28"/>
          </w:pPr>
          <w:r w:rsidRPr="00AE3408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AE3408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AE3408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AE3408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B77B4E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Pr="00AE3408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AE3408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AE3408">
            <w:rPr>
              <w:rFonts w:ascii="Arial" w:hAnsi="Arial" w:cs="Arial"/>
            </w:rPr>
            <w:fldChar w:fldCharType="begin"/>
          </w:r>
          <w:r w:rsidRPr="00AE3408">
            <w:rPr>
              <w:rFonts w:ascii="Arial" w:hAnsi="Arial" w:cs="Arial"/>
            </w:rPr>
            <w:instrText xml:space="preserve"> NUMPAGES   \* MERGEFORMAT </w:instrText>
          </w:r>
          <w:r w:rsidRPr="00AE3408">
            <w:rPr>
              <w:rFonts w:ascii="Arial" w:hAnsi="Arial" w:cs="Arial"/>
            </w:rPr>
            <w:fldChar w:fldCharType="separate"/>
          </w:r>
          <w:r w:rsidR="00B77B4E" w:rsidRPr="00B77B4E">
            <w:rPr>
              <w:rFonts w:ascii="Arial" w:hAnsi="Arial" w:cs="Arial"/>
              <w:b/>
              <w:noProof/>
              <w:lang w:val="nl-NL" w:eastAsia="nl-NL"/>
            </w:rPr>
            <w:t>10</w:t>
          </w:r>
          <w:r w:rsidRPr="00AE3408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76221C" w:rsidTr="009E4937">
      <w:trPr>
        <w:cantSplit/>
        <w:trHeight w:val="292"/>
      </w:trPr>
      <w:tc>
        <w:tcPr>
          <w:tcW w:w="2354" w:type="dxa"/>
          <w:vMerge/>
        </w:tcPr>
        <w:p w:rsidR="0076221C" w:rsidRDefault="0076221C">
          <w:pPr>
            <w:pStyle w:val="Header"/>
            <w:pBdr>
              <w:bottom w:val="none" w:sz="0" w:space="0" w:color="auto"/>
            </w:pBdr>
          </w:pPr>
        </w:p>
      </w:tc>
      <w:tc>
        <w:tcPr>
          <w:tcW w:w="7378" w:type="dxa"/>
        </w:tcPr>
        <w:p w:rsidR="0076221C" w:rsidRDefault="0076221C">
          <w:pPr>
            <w:pStyle w:val="Header"/>
            <w:pBdr>
              <w:bottom w:val="none" w:sz="0" w:space="0" w:color="auto"/>
            </w:pBdr>
            <w:jc w:val="center"/>
          </w:pPr>
        </w:p>
      </w:tc>
      <w:tc>
        <w:tcPr>
          <w:tcW w:w="1039" w:type="dxa"/>
        </w:tcPr>
        <w:p w:rsidR="0076221C" w:rsidRDefault="0076221C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:rsidR="0076221C" w:rsidRDefault="0076221C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1C" w:rsidRDefault="0076221C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0C5ECCB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28"/>
  </w:num>
  <w:num w:numId="30">
    <w:abstractNumId w:val="7"/>
  </w:num>
  <w:num w:numId="31">
    <w:abstractNumId w:val="14"/>
  </w:num>
  <w:num w:numId="32">
    <w:abstractNumId w:val="22"/>
  </w:num>
  <w:num w:numId="33">
    <w:abstractNumId w:val="27"/>
  </w:num>
  <w:num w:numId="34">
    <w:abstractNumId w:val="8"/>
  </w:num>
  <w:num w:numId="35">
    <w:abstractNumId w:val="25"/>
  </w:num>
  <w:num w:numId="36">
    <w:abstractNumId w:val="9"/>
  </w:num>
  <w:num w:numId="37">
    <w:abstractNumId w:val="26"/>
  </w:num>
  <w:num w:numId="38">
    <w:abstractNumId w:val="18"/>
  </w:num>
  <w:num w:numId="39">
    <w:abstractNumId w:val="4"/>
  </w:num>
  <w:num w:numId="40">
    <w:abstractNumId w:val="15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3"/>
  </w:num>
  <w:num w:numId="4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0C"/>
    <w:rsid w:val="0002216C"/>
    <w:rsid w:val="000819F8"/>
    <w:rsid w:val="00084D30"/>
    <w:rsid w:val="000B2BB3"/>
    <w:rsid w:val="000B779F"/>
    <w:rsid w:val="000C1FFB"/>
    <w:rsid w:val="00134693"/>
    <w:rsid w:val="00145255"/>
    <w:rsid w:val="0017136D"/>
    <w:rsid w:val="001A29B8"/>
    <w:rsid w:val="001B0130"/>
    <w:rsid w:val="001B2ABA"/>
    <w:rsid w:val="001D72F1"/>
    <w:rsid w:val="001D7646"/>
    <w:rsid w:val="00201987"/>
    <w:rsid w:val="002277B8"/>
    <w:rsid w:val="00244BF5"/>
    <w:rsid w:val="002818D9"/>
    <w:rsid w:val="002C693E"/>
    <w:rsid w:val="002D149B"/>
    <w:rsid w:val="002D280B"/>
    <w:rsid w:val="002E1507"/>
    <w:rsid w:val="002E20F0"/>
    <w:rsid w:val="00316979"/>
    <w:rsid w:val="00324F4D"/>
    <w:rsid w:val="00331AC3"/>
    <w:rsid w:val="00332031"/>
    <w:rsid w:val="0033411C"/>
    <w:rsid w:val="0034113E"/>
    <w:rsid w:val="003474DE"/>
    <w:rsid w:val="00362DB3"/>
    <w:rsid w:val="00362E7C"/>
    <w:rsid w:val="00374A5F"/>
    <w:rsid w:val="003834CE"/>
    <w:rsid w:val="00391756"/>
    <w:rsid w:val="003A3562"/>
    <w:rsid w:val="003B2379"/>
    <w:rsid w:val="003B7B2F"/>
    <w:rsid w:val="003E5ED8"/>
    <w:rsid w:val="004202A6"/>
    <w:rsid w:val="00432842"/>
    <w:rsid w:val="0046240D"/>
    <w:rsid w:val="00486A02"/>
    <w:rsid w:val="004A7A55"/>
    <w:rsid w:val="004A7AF7"/>
    <w:rsid w:val="004C2347"/>
    <w:rsid w:val="004E4CD0"/>
    <w:rsid w:val="004F3930"/>
    <w:rsid w:val="0053086A"/>
    <w:rsid w:val="005857B1"/>
    <w:rsid w:val="005A5BA5"/>
    <w:rsid w:val="005B4E27"/>
    <w:rsid w:val="005C2385"/>
    <w:rsid w:val="005D4B09"/>
    <w:rsid w:val="005D677E"/>
    <w:rsid w:val="0065404E"/>
    <w:rsid w:val="006620A7"/>
    <w:rsid w:val="00672CEA"/>
    <w:rsid w:val="006B066D"/>
    <w:rsid w:val="006B2173"/>
    <w:rsid w:val="0071273E"/>
    <w:rsid w:val="00733E83"/>
    <w:rsid w:val="00740DE9"/>
    <w:rsid w:val="00750B23"/>
    <w:rsid w:val="0076221C"/>
    <w:rsid w:val="007A70CF"/>
    <w:rsid w:val="007A7FE9"/>
    <w:rsid w:val="007C2DF8"/>
    <w:rsid w:val="007D02E4"/>
    <w:rsid w:val="007D60B5"/>
    <w:rsid w:val="0081069D"/>
    <w:rsid w:val="00820C9F"/>
    <w:rsid w:val="00845392"/>
    <w:rsid w:val="0088438F"/>
    <w:rsid w:val="00885426"/>
    <w:rsid w:val="008A4A37"/>
    <w:rsid w:val="008C18B1"/>
    <w:rsid w:val="008D42F9"/>
    <w:rsid w:val="00912644"/>
    <w:rsid w:val="00917A73"/>
    <w:rsid w:val="009204DD"/>
    <w:rsid w:val="00927794"/>
    <w:rsid w:val="009333DF"/>
    <w:rsid w:val="00934C79"/>
    <w:rsid w:val="009A4507"/>
    <w:rsid w:val="009C6C5A"/>
    <w:rsid w:val="009C6D22"/>
    <w:rsid w:val="009E4937"/>
    <w:rsid w:val="00A17D09"/>
    <w:rsid w:val="00A5779F"/>
    <w:rsid w:val="00AA16A5"/>
    <w:rsid w:val="00AB5297"/>
    <w:rsid w:val="00AD7973"/>
    <w:rsid w:val="00AE17BE"/>
    <w:rsid w:val="00B0266E"/>
    <w:rsid w:val="00B11398"/>
    <w:rsid w:val="00B37F36"/>
    <w:rsid w:val="00B52F31"/>
    <w:rsid w:val="00B74856"/>
    <w:rsid w:val="00B77424"/>
    <w:rsid w:val="00B77B4E"/>
    <w:rsid w:val="00B81790"/>
    <w:rsid w:val="00BA15E4"/>
    <w:rsid w:val="00BA1821"/>
    <w:rsid w:val="00BB153C"/>
    <w:rsid w:val="00BF24CE"/>
    <w:rsid w:val="00C24241"/>
    <w:rsid w:val="00C40EA4"/>
    <w:rsid w:val="00C45059"/>
    <w:rsid w:val="00CC6943"/>
    <w:rsid w:val="00CF1748"/>
    <w:rsid w:val="00CF3ACF"/>
    <w:rsid w:val="00CF3B6B"/>
    <w:rsid w:val="00CF7284"/>
    <w:rsid w:val="00D30026"/>
    <w:rsid w:val="00D5740C"/>
    <w:rsid w:val="00D6790A"/>
    <w:rsid w:val="00D77DD5"/>
    <w:rsid w:val="00D96A3B"/>
    <w:rsid w:val="00DA701F"/>
    <w:rsid w:val="00E144E6"/>
    <w:rsid w:val="00E653E9"/>
    <w:rsid w:val="00E81418"/>
    <w:rsid w:val="00E81515"/>
    <w:rsid w:val="00EC669C"/>
    <w:rsid w:val="00ED00B9"/>
    <w:rsid w:val="00F47C83"/>
    <w:rsid w:val="00F77EDB"/>
    <w:rsid w:val="00F953E2"/>
    <w:rsid w:val="00FA07E2"/>
    <w:rsid w:val="00FA40E3"/>
    <w:rsid w:val="00FB37B6"/>
    <w:rsid w:val="00FB5A4A"/>
    <w:rsid w:val="00FC3D42"/>
    <w:rsid w:val="00FC446A"/>
    <w:rsid w:val="00FD6779"/>
    <w:rsid w:val="00FD6AC8"/>
    <w:rsid w:val="00FD6EBB"/>
    <w:rsid w:val="00FE1C0A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83368C-5813-480B-BBE6-A615334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77B4E"/>
    <w:pPr>
      <w:keepNext/>
      <w:pageBreakBefore/>
      <w:numPr>
        <w:numId w:val="16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C45059"/>
    <w:pPr>
      <w:pageBreakBefore w:val="0"/>
      <w:numPr>
        <w:ilvl w:val="1"/>
      </w:numPr>
      <w:spacing w:before="60" w:after="60"/>
      <w:ind w:right="-284"/>
      <w:outlineLvl w:val="1"/>
    </w:pPr>
    <w:rPr>
      <w:color w:val="17365D" w:themeColor="text2" w:themeShade="BF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tabs>
        <w:tab w:val="clear" w:pos="1080"/>
      </w:tabs>
      <w:ind w:left="567" w:right="0" w:hanging="567"/>
      <w:outlineLvl w:val="2"/>
    </w:pPr>
    <w:rPr>
      <w:bCs/>
      <w:color w:val="17365D" w:themeColor="text2" w:themeShade="BF"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color w:val="17365D" w:themeColor="text2" w:themeShade="BF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B4E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059"/>
    <w:rPr>
      <w:rFonts w:ascii="Calibri" w:hAnsi="Calibri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="Calibri" w:hAnsi="Calibri" w:cs="Arial"/>
      <w:b/>
      <w:bCs/>
      <w:color w:val="1F497D" w:themeColor="text2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E4937"/>
    <w:pPr>
      <w:tabs>
        <w:tab w:val="left" w:pos="440"/>
        <w:tab w:val="right" w:leader="dot" w:pos="9629"/>
      </w:tabs>
      <w:spacing w:before="60" w:after="60"/>
      <w:jc w:val="left"/>
    </w:pPr>
    <w:rPr>
      <w:rFonts w:ascii="Arial" w:hAnsi="Arial"/>
      <w:b/>
      <w:bCs/>
      <w:noProof/>
      <w:color w:val="17365D" w:themeColor="text2" w:themeShade="BF"/>
      <w:sz w:val="24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C45059"/>
    <w:pPr>
      <w:tabs>
        <w:tab w:val="left" w:pos="660"/>
        <w:tab w:val="right" w:leader="dot" w:pos="9629"/>
      </w:tabs>
      <w:jc w:val="left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912644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912644"/>
    <w:rPr>
      <w:rFonts w:ascii="Calibri" w:hAnsi="Calibri" w:cs="Arial"/>
      <w:color w:val="0070C0"/>
      <w:sz w:val="20"/>
      <w:szCs w:val="20"/>
    </w:rPr>
  </w:style>
  <w:style w:type="paragraph" w:customStyle="1" w:styleId="TableHeader">
    <w:name w:val="TableHeader"/>
    <w:basedOn w:val="Normal"/>
    <w:link w:val="TableHeaderChar"/>
    <w:qFormat/>
    <w:rsid w:val="009E4937"/>
    <w:pPr>
      <w:jc w:val="left"/>
    </w:pPr>
    <w:rPr>
      <w:b/>
      <w:color w:val="FFFFFF" w:themeColor="background1"/>
      <w:sz w:val="16"/>
      <w:lang w:val="en-US"/>
    </w:rPr>
  </w:style>
  <w:style w:type="character" w:customStyle="1" w:styleId="TableHeaderChar">
    <w:name w:val="TableHeader Char"/>
    <w:basedOn w:val="DefaultParagraphFont"/>
    <w:link w:val="TableHeader"/>
    <w:rsid w:val="009E4937"/>
    <w:rPr>
      <w:rFonts w:ascii="Calibri" w:hAnsi="Calibri"/>
      <w:b/>
      <w:color w:val="FFFFFF" w:themeColor="background1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2728-D156-49B2-BCD0-A18FECE4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>Capgemini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creator>Group Delivery</dc:creator>
  <cp:lastModifiedBy>Deshmukh, Nilam</cp:lastModifiedBy>
  <cp:revision>8</cp:revision>
  <cp:lastPrinted>2010-12-07T09:29:00Z</cp:lastPrinted>
  <dcterms:created xsi:type="dcterms:W3CDTF">2017-02-02T04:05:00Z</dcterms:created>
  <dcterms:modified xsi:type="dcterms:W3CDTF">2017-05-15T09:39:00Z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